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="0" w:afterAutospacing="0" w:after="0"/>
        <w:jc w:val="center"/>
        <w:rPr>
          <w:rFonts w:ascii="Calibri" w:hAnsi="Calibri" w:cs="Calibri" w:asciiTheme="minorHAnsi" w:cstheme="minorHAnsi" w:hAnsiTheme="minorHAnsi"/>
          <w:color w:val="000000"/>
          <w:sz w:val="52"/>
          <w:szCs w:val="52"/>
        </w:rPr>
      </w:pPr>
      <w:bookmarkStart w:id="0" w:name="_Toc467377103"/>
      <w:r>
        <w:rPr>
          <w:rFonts w:cs="Calibri" w:ascii="Calibri" w:hAnsi="Calibri" w:asciiTheme="minorHAnsi" w:cstheme="minorHAnsi" w:hAnsiTheme="minorHAnsi"/>
          <w:color w:val="000000"/>
          <w:sz w:val="52"/>
          <w:szCs w:val="52"/>
        </w:rPr>
        <w:t xml:space="preserve">Regulamin Ochrony </w:t>
      </w:r>
    </w:p>
    <w:p>
      <w:pPr>
        <w:pStyle w:val="NormalWeb"/>
        <w:shd w:val="clear" w:color="auto" w:fill="FFFFFF"/>
        <w:spacing w:before="0" w:afterAutospacing="0" w:after="0"/>
        <w:jc w:val="center"/>
        <w:rPr>
          <w:rFonts w:ascii="Calibri" w:hAnsi="Calibri" w:cs="Calibri" w:asciiTheme="minorHAnsi" w:cstheme="minorHAnsi" w:hAnsiTheme="minorHAnsi"/>
          <w:color w:val="000000"/>
          <w:sz w:val="52"/>
          <w:szCs w:val="52"/>
        </w:rPr>
      </w:pPr>
      <w:r>
        <w:rPr>
          <w:rFonts w:cs="Calibri" w:ascii="Calibri" w:hAnsi="Calibri" w:asciiTheme="minorHAnsi" w:cstheme="minorHAnsi" w:hAnsiTheme="minorHAnsi"/>
          <w:color w:val="000000"/>
          <w:sz w:val="52"/>
          <w:szCs w:val="52"/>
        </w:rPr>
        <w:t>Danych Osobowych</w:t>
      </w:r>
    </w:p>
    <w:p>
      <w:pPr>
        <w:pStyle w:val="NormalWeb"/>
        <w:shd w:val="clear" w:color="auto" w:fill="FFFFFF"/>
        <w:spacing w:before="0" w:after="0"/>
        <w:jc w:val="center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52"/>
          <w:szCs w:val="52"/>
        </w:rPr>
        <w:t>w spółce SERVO sp. z o.o.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 w:ascii="Calibri" w:hAnsi="Calibri"/>
          <w:color w:val="000000"/>
          <w:sz w:val="20"/>
          <w:szCs w:val="20"/>
        </w:rPr>
      </w:r>
    </w:p>
    <w:p>
      <w:pPr>
        <w:pStyle w:val="Normal"/>
        <w:spacing w:before="0" w:after="0"/>
        <w:rPr/>
      </w:pPr>
      <w:r>
        <w:rPr/>
        <w:t>Niniejszy regulamin stanowi wykaz podstawowych obowiązków z zakresu przestrzegania zasad ochrony danych osobowych zgodnie z przepisami RODO dla:</w:t>
      </w:r>
    </w:p>
    <w:p>
      <w:pPr>
        <w:pStyle w:val="ListParagraph"/>
        <w:numPr>
          <w:ilvl w:val="0"/>
          <w:numId w:val="12"/>
        </w:numPr>
        <w:spacing w:before="0" w:after="0"/>
        <w:rPr/>
      </w:pPr>
      <w:r>
        <w:rPr/>
        <w:t>Pracowników</w:t>
      </w:r>
    </w:p>
    <w:p>
      <w:pPr>
        <w:pStyle w:val="ListParagraph"/>
        <w:numPr>
          <w:ilvl w:val="0"/>
          <w:numId w:val="12"/>
        </w:numPr>
        <w:spacing w:before="0" w:after="0"/>
        <w:rPr/>
      </w:pPr>
      <w:r>
        <w:rPr/>
        <w:t>Współpracowników</w:t>
      </w:r>
    </w:p>
    <w:p>
      <w:pPr>
        <w:pStyle w:val="ListParagraph"/>
        <w:numPr>
          <w:ilvl w:val="0"/>
          <w:numId w:val="12"/>
        </w:numPr>
        <w:spacing w:before="0" w:after="0"/>
        <w:rPr/>
      </w:pPr>
      <w:r>
        <w:rPr/>
        <w:t>Pracowników podmiotów trzecich, posiadających dostęp do danych osobowych przetwarzanych przez Administratora / Podmiot przetwarzający</w:t>
      </w:r>
    </w:p>
    <w:p>
      <w:pPr>
        <w:pStyle w:val="ListParagraph"/>
        <w:numPr>
          <w:ilvl w:val="0"/>
          <w:numId w:val="12"/>
        </w:numPr>
        <w:spacing w:before="0" w:after="0"/>
        <w:rPr/>
      </w:pPr>
      <w:r>
        <w:rPr/>
        <w:t>Użytkowników systemów informatycznych z dostępem do danych osobowych przetwarzanych przez Administratora / Podmiot przetwarzający</w:t>
      </w:r>
    </w:p>
    <w:p>
      <w:pPr>
        <w:pStyle w:val="Treteks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retekstu"/>
        <w:jc w:val="center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Każda z w/w osób powinna zapoznać się z poniższym regulaminem oraz zobowiązać się do stosowania zasad w nim zawartych</w:t>
      </w:r>
    </w:p>
    <w:p>
      <w:pPr>
        <w:pStyle w:val="Normal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  <w:r>
        <w:br w:type="page"/>
      </w:r>
    </w:p>
    <w:p>
      <w:pPr>
        <w:pStyle w:val="Treteks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retekstu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SPIS TREŚCI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Spistreci1"/>
        <w:tabs>
          <w:tab w:val="left" w:pos="440" w:leader="none"/>
          <w:tab w:val="right" w:pos="9062" w:leader="dot"/>
        </w:tabs>
        <w:rPr>
          <w:sz w:val="22"/>
        </w:rPr>
      </w:pPr>
      <w:r>
        <w:fldChar w:fldCharType="begin"/>
      </w:r>
      <w:r>
        <w:instrText> TOC \z \o "1-3" \h</w:instrText>
      </w:r>
      <w:r>
        <w:fldChar w:fldCharType="separate"/>
      </w:r>
      <w:hyperlink w:anchor="_Toc507323249">
        <w:r>
          <w:rPr>
            <w:webHidden/>
            <w:rStyle w:val="Czeindeksu"/>
          </w:rPr>
          <w:t>1</w:t>
        </w:r>
        <w:r>
          <w:rPr>
            <w:rStyle w:val="Czeindeksu"/>
            <w:sz w:val="22"/>
          </w:rPr>
          <w:tab/>
        </w:r>
        <w:r>
          <w:rPr>
            <w:rStyle w:val="Czeindeksu"/>
          </w:rPr>
          <w:t>Zasady bezpiecznego użytkowania sprzętu IT, dysków, programów</w:t>
        </w:r>
        <w:r>
          <w:rPr>
            <w:webHidden/>
          </w:rPr>
          <w:fldChar w:fldCharType="begin"/>
        </w:r>
        <w:r>
          <w:rPr>
            <w:webHidden/>
          </w:rPr>
          <w:instrText>PAGEREF _Toc507323249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3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left" w:pos="440" w:leader="none"/>
          <w:tab w:val="right" w:pos="9062" w:leader="dot"/>
        </w:tabs>
        <w:rPr>
          <w:sz w:val="22"/>
        </w:rPr>
      </w:pPr>
      <w:hyperlink w:anchor="_Toc507323250">
        <w:r>
          <w:rPr>
            <w:webHidden/>
            <w:rStyle w:val="Czeindeksu"/>
          </w:rPr>
          <w:t>2</w:t>
        </w:r>
        <w:r>
          <w:rPr>
            <w:rStyle w:val="Czeindeksu"/>
            <w:sz w:val="22"/>
          </w:rPr>
          <w:tab/>
        </w:r>
        <w:r>
          <w:rPr>
            <w:rStyle w:val="Czeindeksu"/>
          </w:rPr>
          <w:t>Zarządzanie uprawnieniami - procedura rozpoczęcia, zawieszenia i zakończenia pracy</w:t>
        </w:r>
        <w:r>
          <w:rPr>
            <w:webHidden/>
          </w:rPr>
          <w:fldChar w:fldCharType="begin"/>
        </w:r>
        <w:r>
          <w:rPr>
            <w:webHidden/>
          </w:rPr>
          <w:instrText>PAGEREF _Toc507323250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3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left" w:pos="440" w:leader="none"/>
          <w:tab w:val="right" w:pos="9062" w:leader="dot"/>
        </w:tabs>
        <w:rPr>
          <w:sz w:val="22"/>
        </w:rPr>
      </w:pPr>
      <w:hyperlink w:anchor="_Toc507323251">
        <w:r>
          <w:rPr>
            <w:webHidden/>
            <w:rStyle w:val="Czeindeksu"/>
          </w:rPr>
          <w:t>3</w:t>
        </w:r>
        <w:r>
          <w:rPr>
            <w:rStyle w:val="Czeindeksu"/>
            <w:sz w:val="22"/>
          </w:rPr>
          <w:tab/>
        </w:r>
        <w:r>
          <w:rPr>
            <w:rStyle w:val="Czeindeksu"/>
          </w:rPr>
          <w:t>Polityka haseł</w:t>
        </w:r>
        <w:r>
          <w:rPr>
            <w:webHidden/>
          </w:rPr>
          <w:fldChar w:fldCharType="begin"/>
        </w:r>
        <w:r>
          <w:rPr>
            <w:webHidden/>
          </w:rPr>
          <w:instrText>PAGEREF _Toc507323251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4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left" w:pos="440" w:leader="none"/>
          <w:tab w:val="right" w:pos="9062" w:leader="dot"/>
        </w:tabs>
        <w:rPr>
          <w:sz w:val="22"/>
        </w:rPr>
      </w:pPr>
      <w:hyperlink w:anchor="_Toc507323252">
        <w:r>
          <w:rPr>
            <w:webHidden/>
            <w:rStyle w:val="Czeindeksu"/>
          </w:rPr>
          <w:t>4</w:t>
        </w:r>
        <w:r>
          <w:rPr>
            <w:rStyle w:val="Czeindeksu"/>
            <w:sz w:val="22"/>
          </w:rPr>
          <w:tab/>
        </w:r>
        <w:r>
          <w:rPr>
            <w:rStyle w:val="Czeindeksu"/>
          </w:rPr>
          <w:t>Zabezpieczenie dokumentacji papierowej z danymi osobowymi</w:t>
        </w:r>
        <w:r>
          <w:rPr>
            <w:webHidden/>
          </w:rPr>
          <w:fldChar w:fldCharType="begin"/>
        </w:r>
        <w:r>
          <w:rPr>
            <w:webHidden/>
          </w:rPr>
          <w:instrText>PAGEREF _Toc507323252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4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left" w:pos="440" w:leader="none"/>
          <w:tab w:val="right" w:pos="9062" w:leader="dot"/>
        </w:tabs>
        <w:rPr>
          <w:sz w:val="22"/>
        </w:rPr>
      </w:pPr>
      <w:hyperlink w:anchor="_Toc507323253">
        <w:r>
          <w:rPr>
            <w:webHidden/>
            <w:rStyle w:val="Czeindeksu"/>
          </w:rPr>
          <w:t>5</w:t>
        </w:r>
        <w:r>
          <w:rPr>
            <w:rStyle w:val="Czeindeksu"/>
            <w:sz w:val="22"/>
          </w:rPr>
          <w:tab/>
        </w:r>
        <w:r>
          <w:rPr>
            <w:rStyle w:val="Czeindeksu"/>
          </w:rPr>
          <w:t>Zasady wynoszenia nośników z danymi poza firmę/organizację</w:t>
        </w:r>
        <w:r>
          <w:rPr>
            <w:webHidden/>
          </w:rPr>
          <w:fldChar w:fldCharType="begin"/>
        </w:r>
        <w:r>
          <w:rPr>
            <w:webHidden/>
          </w:rPr>
          <w:instrText>PAGEREF _Toc507323253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4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left" w:pos="440" w:leader="none"/>
          <w:tab w:val="right" w:pos="9062" w:leader="dot"/>
        </w:tabs>
        <w:rPr>
          <w:sz w:val="22"/>
        </w:rPr>
      </w:pPr>
      <w:hyperlink w:anchor="_Toc507323254">
        <w:r>
          <w:rPr>
            <w:webHidden/>
            <w:rStyle w:val="Czeindeksu"/>
          </w:rPr>
          <w:t>6</w:t>
        </w:r>
        <w:r>
          <w:rPr>
            <w:rStyle w:val="Czeindeksu"/>
            <w:sz w:val="22"/>
          </w:rPr>
          <w:tab/>
        </w:r>
        <w:r>
          <w:rPr>
            <w:rStyle w:val="Czeindeksu"/>
          </w:rPr>
          <w:t>Zasady korzystania z internetu</w:t>
        </w:r>
        <w:r>
          <w:rPr>
            <w:webHidden/>
          </w:rPr>
          <w:fldChar w:fldCharType="begin"/>
        </w:r>
        <w:r>
          <w:rPr>
            <w:webHidden/>
          </w:rPr>
          <w:instrText>PAGEREF _Toc507323254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5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left" w:pos="440" w:leader="none"/>
          <w:tab w:val="right" w:pos="9062" w:leader="dot"/>
        </w:tabs>
        <w:rPr>
          <w:sz w:val="22"/>
        </w:rPr>
      </w:pPr>
      <w:hyperlink w:anchor="_Toc507323255">
        <w:r>
          <w:rPr>
            <w:webHidden/>
            <w:rStyle w:val="Czeindeksu"/>
          </w:rPr>
          <w:t>7</w:t>
        </w:r>
        <w:r>
          <w:rPr>
            <w:rStyle w:val="Czeindeksu"/>
            <w:sz w:val="22"/>
          </w:rPr>
          <w:tab/>
        </w:r>
        <w:r>
          <w:rPr>
            <w:rStyle w:val="Czeindeksu"/>
          </w:rPr>
          <w:t>Zasady korzystania z poczty elektronicznej</w:t>
        </w:r>
        <w:r>
          <w:rPr>
            <w:webHidden/>
          </w:rPr>
          <w:fldChar w:fldCharType="begin"/>
        </w:r>
        <w:r>
          <w:rPr>
            <w:webHidden/>
          </w:rPr>
          <w:instrText>PAGEREF _Toc507323255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5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left" w:pos="440" w:leader="none"/>
          <w:tab w:val="right" w:pos="9062" w:leader="dot"/>
        </w:tabs>
        <w:rPr>
          <w:sz w:val="22"/>
        </w:rPr>
      </w:pPr>
      <w:hyperlink w:anchor="_Toc507323256">
        <w:r>
          <w:rPr>
            <w:webHidden/>
            <w:rStyle w:val="Czeindeksu"/>
          </w:rPr>
          <w:t>8</w:t>
        </w:r>
        <w:r>
          <w:rPr>
            <w:rStyle w:val="Czeindeksu"/>
            <w:sz w:val="22"/>
          </w:rPr>
          <w:tab/>
        </w:r>
        <w:r>
          <w:rPr>
            <w:rStyle w:val="Czeindeksu"/>
          </w:rPr>
          <w:t>Ochrona antywirusowa</w:t>
        </w:r>
        <w:r>
          <w:rPr>
            <w:webHidden/>
          </w:rPr>
          <w:fldChar w:fldCharType="begin"/>
        </w:r>
        <w:r>
          <w:rPr>
            <w:webHidden/>
          </w:rPr>
          <w:instrText>PAGEREF _Toc507323256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6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left" w:pos="440" w:leader="none"/>
          <w:tab w:val="right" w:pos="9062" w:leader="dot"/>
        </w:tabs>
        <w:rPr>
          <w:sz w:val="22"/>
        </w:rPr>
      </w:pPr>
      <w:hyperlink w:anchor="_Toc507323257">
        <w:r>
          <w:rPr>
            <w:webHidden/>
            <w:rStyle w:val="Czeindeksu"/>
          </w:rPr>
          <w:t>9</w:t>
        </w:r>
        <w:r>
          <w:rPr>
            <w:rStyle w:val="Czeindeksu"/>
            <w:sz w:val="22"/>
          </w:rPr>
          <w:tab/>
        </w:r>
        <w:r>
          <w:rPr>
            <w:rStyle w:val="Czeindeksu"/>
          </w:rPr>
          <w:t>Skrócona instrukcja postępowania w przypadku naruszenia ochrony danych osobowych</w:t>
        </w:r>
        <w:r>
          <w:rPr>
            <w:webHidden/>
          </w:rPr>
          <w:fldChar w:fldCharType="begin"/>
        </w:r>
        <w:r>
          <w:rPr>
            <w:webHidden/>
          </w:rPr>
          <w:instrText>PAGEREF _Toc507323257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6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left" w:pos="440" w:leader="none"/>
          <w:tab w:val="right" w:pos="9062" w:leader="dot"/>
        </w:tabs>
        <w:rPr>
          <w:sz w:val="22"/>
        </w:rPr>
      </w:pPr>
      <w:hyperlink w:anchor="_Toc507323258">
        <w:r>
          <w:rPr>
            <w:webHidden/>
            <w:rStyle w:val="Czeindeksu"/>
          </w:rPr>
          <w:t>10</w:t>
        </w:r>
        <w:r>
          <w:rPr>
            <w:rStyle w:val="Czeindeksu"/>
            <w:sz w:val="22"/>
          </w:rPr>
          <w:tab/>
        </w:r>
        <w:r>
          <w:rPr>
            <w:rStyle w:val="Czeindeksu"/>
          </w:rPr>
          <w:t>Obowiązek zachowania poufności i ochrony danych osobowych</w:t>
        </w:r>
        <w:r>
          <w:rPr>
            <w:webHidden/>
          </w:rPr>
          <w:fldChar w:fldCharType="begin"/>
        </w:r>
        <w:r>
          <w:rPr>
            <w:webHidden/>
          </w:rPr>
          <w:instrText>PAGEREF _Toc507323258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7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left" w:pos="440" w:leader="none"/>
          <w:tab w:val="right" w:pos="9062" w:leader="dot"/>
        </w:tabs>
        <w:rPr>
          <w:sz w:val="22"/>
        </w:rPr>
      </w:pPr>
      <w:hyperlink w:anchor="_Toc507323259">
        <w:r>
          <w:rPr>
            <w:webHidden/>
            <w:rStyle w:val="Czeindeksu"/>
          </w:rPr>
          <w:t>11</w:t>
        </w:r>
        <w:r>
          <w:rPr>
            <w:rStyle w:val="Czeindeksu"/>
            <w:sz w:val="22"/>
          </w:rPr>
          <w:tab/>
        </w:r>
        <w:r>
          <w:rPr>
            <w:rStyle w:val="Czeindeksu"/>
          </w:rPr>
          <w:t>Postępowanie dyscyplinarne</w:t>
        </w:r>
        <w:r>
          <w:rPr>
            <w:webHidden/>
          </w:rPr>
          <w:fldChar w:fldCharType="begin"/>
        </w:r>
        <w:r>
          <w:rPr>
            <w:webHidden/>
          </w:rPr>
          <w:instrText>PAGEREF _Toc507323259 \h</w:instrText>
        </w:r>
        <w:r>
          <w:rPr>
            <w:webHidden/>
          </w:rPr>
          <w:fldChar w:fldCharType="separate"/>
        </w:r>
        <w:r>
          <w:rPr>
            <w:rStyle w:val="Czeindeksu"/>
            <w:vanish w:val="false"/>
          </w:rPr>
          <w:tab/>
          <w:t>8</w:t>
        </w:r>
        <w:r>
          <w:rPr>
            <w:webHidden/>
          </w:rPr>
          <w:fldChar w:fldCharType="end"/>
        </w:r>
      </w:hyperlink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  <w:r>
        <w:fldChar w:fldCharType="end"/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agwek1"/>
        <w:numPr>
          <w:ilvl w:val="0"/>
          <w:numId w:val="2"/>
        </w:numPr>
        <w:pBdr>
          <w:bottom w:val="single" w:sz="4" w:space="2" w:color="595959"/>
        </w:pBdr>
        <w:spacing w:before="0" w:after="0"/>
        <w:rPr/>
      </w:pPr>
      <w:bookmarkStart w:id="1" w:name="_Toc507323249"/>
      <w:bookmarkStart w:id="2" w:name="_Toc182391144"/>
      <w:r>
        <w:rPr/>
        <w:t xml:space="preserve">Zasady bezpiecznego użytkowania sprzętu </w:t>
      </w:r>
      <w:bookmarkEnd w:id="2"/>
      <w:r>
        <w:rPr/>
        <w:t>IT, dysków, programów</w:t>
      </w:r>
      <w:bookmarkEnd w:id="1"/>
      <w:r>
        <w:rPr/>
        <w:t xml:space="preserve">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W przypadku, gdy użytkownik przetwarzający dane osobowe korzysta ze sprzętu IT zobowiązany jest do jego zabezpieczenia przed zniszczeniem lub uszkodzeniem. Za sprzęt IT rozumie się: komputery stacjonarne, monitory, drukarki, skanery, ksera, laptopy, służbowe tablety i smartfony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Użytkownik jest zobowiązany  zgłosić zagubienie, utratę lub zniszczenie powierzonego mu Sprzętu IT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Samowolne instalowanie otwieranie (demontaż) Sprzętu IT, instalowanie dodatkowych urządzeń (np. twardych dysków, pamięci) do lub podłączanie jakichkolwiek niezatwierdzonych urządzeń do systemu informatycznego jest zabronione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Użytkownik jest zobowiązany do uniemożliwienia osobom niepowołanym (np. klientom, pracownikom innych działów) wgląd do danych wyświetlanych na monitorach komputerowych – </w:t>
      </w:r>
      <w:r>
        <w:rPr>
          <w:rFonts w:cs="Calibri" w:cstheme="minorHAnsi"/>
          <w:b/>
        </w:rPr>
        <w:t>tzw. Polityka czystego ekranu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Przed czasowym opuszczeniem stanowiska pracy, użytkownik zobowiązany jest wywołać blokowany hasłem wygaszacz ekranu (WINDOWS + L) lub wylogować się z systemu bądź z programu.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 zakończeniu pracy, użytkownik zobowiązany jest:</w:t>
      </w:r>
    </w:p>
    <w:p>
      <w:pPr>
        <w:pStyle w:val="Normal"/>
        <w:numPr>
          <w:ilvl w:val="1"/>
          <w:numId w:val="5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wylogować się z systemu informatycznego, a jeśli to wymagane - następnie wyłączyć sprzęt komputerowy</w:t>
      </w:r>
    </w:p>
    <w:p>
      <w:pPr>
        <w:pStyle w:val="Normal"/>
        <w:numPr>
          <w:ilvl w:val="1"/>
          <w:numId w:val="5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zabezpieczyć stanowisko pracy, w szczególności wszelkie nośniki magnetyczne i optyczne na których znajdują się dane osobowe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Użytkownik jest zobowiązany do usuwania plików z nośników/dysków do których mają dostęp inni użytkownicy nieupoważnieni do dostępu do takich plików (np. podczas współużytkowania komputerów)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jc w:val="both"/>
        <w:rPr>
          <w:rFonts w:cs="Calibri" w:cstheme="minorHAnsi"/>
        </w:rPr>
      </w:pPr>
      <w:r>
        <w:rPr>
          <w:rFonts w:cs="Calibri" w:cstheme="minorHAnsi"/>
        </w:rPr>
        <w:t>Jeśli użytkownik jest uprawniony do niszczenia nośników, powinien TRWALE zniszczyć sam nośnik lub  trwale usunąć z niego dane (np. zniszczenie płyt DVD w niszczarce, zniszczenie twardego dysku, pendrive młotkiem)</w:t>
      </w:r>
    </w:p>
    <w:p>
      <w:pPr>
        <w:pStyle w:val="Nagwek1"/>
        <w:numPr>
          <w:ilvl w:val="0"/>
          <w:numId w:val="2"/>
        </w:numPr>
        <w:rPr/>
      </w:pPr>
      <w:bookmarkStart w:id="3" w:name="_Toc507323250"/>
      <w:bookmarkEnd w:id="3"/>
      <w:r>
        <w:rPr/>
        <w:t>Zarządzanie uprawnieniami - procedura rozpoczęcia, zawieszenia i zakończenia pracy</w:t>
      </w:r>
    </w:p>
    <w:p>
      <w:pPr>
        <w:pStyle w:val="ListParagraph"/>
        <w:numPr>
          <w:ilvl w:val="0"/>
          <w:numId w:val="13"/>
        </w:numPr>
        <w:spacing w:before="0" w:after="0"/>
        <w:rPr/>
      </w:pPr>
      <w:r>
        <w:rPr/>
        <w:t>Każdy użytkownik (</w:t>
      </w:r>
      <w:r>
        <w:rPr>
          <w:color w:val="FF0000"/>
        </w:rPr>
        <w:t>np. komputera stacjonarnego, laptopa, dysku sieciowego, programów w których użytkownik pracuje, poczty elektronicznej</w:t>
      </w:r>
      <w:r>
        <w:rPr/>
        <w:t>) musi posiadać swój własny indywidualny identyfikator (login) do logowania się</w:t>
      </w:r>
    </w:p>
    <w:p>
      <w:pPr>
        <w:pStyle w:val="ListParagraph"/>
        <w:numPr>
          <w:ilvl w:val="0"/>
          <w:numId w:val="13"/>
        </w:numPr>
        <w:spacing w:before="0" w:after="0"/>
        <w:rPr/>
      </w:pPr>
      <w:r>
        <w:rPr/>
        <w:t>Tworzenie kont użytkowników wraz z uprawnieniami (</w:t>
      </w:r>
      <w:r>
        <w:rPr>
          <w:color w:val="FF0000"/>
        </w:rPr>
        <w:t>np. komputera stacjonarnego, laptopa, dysku sieciowego, programów w których użytkownik pracuje, poczty elektronicznej</w:t>
      </w:r>
      <w:r>
        <w:rPr/>
        <w:t>) odbywa się na polecenie przełożonych a wykonywane przez informatyków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Użytkownik nie może samodzielnie zmieniać swoich uprawnień (np. zostać administratorem Windows na swoim komputerze)</w:t>
      </w:r>
    </w:p>
    <w:p>
      <w:pPr>
        <w:pStyle w:val="ListParagraph"/>
        <w:numPr>
          <w:ilvl w:val="0"/>
          <w:numId w:val="13"/>
        </w:numPr>
        <w:spacing w:before="0" w:after="0"/>
        <w:rPr/>
      </w:pPr>
      <w:r>
        <w:rPr>
          <w:rFonts w:cs="Calibri"/>
        </w:rPr>
        <w:t xml:space="preserve">Każdy użytkownik musi posiadać indywidualny identyfikator. </w:t>
      </w:r>
      <w:r>
        <w:rPr/>
        <w:t>Zabronione jest umożliwianie innym osobom pracy na koncie innego użytkownika</w:t>
      </w:r>
    </w:p>
    <w:p>
      <w:pPr>
        <w:pStyle w:val="Normal"/>
        <w:numPr>
          <w:ilvl w:val="0"/>
          <w:numId w:val="13"/>
        </w:numPr>
        <w:tabs>
          <w:tab w:val="left" w:pos="5954" w:leader="none"/>
        </w:tabs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Zabrania się pracy wielu użytkowników na wspólnym koncie.</w:t>
      </w:r>
    </w:p>
    <w:p>
      <w:pPr>
        <w:pStyle w:val="Normal"/>
        <w:numPr>
          <w:ilvl w:val="0"/>
          <w:numId w:val="13"/>
        </w:numPr>
        <w:tabs>
          <w:tab w:val="left" w:pos="5954" w:leader="none"/>
        </w:tabs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Użytkownik </w:t>
      </w:r>
      <w:r>
        <w:rPr/>
        <w:t>(</w:t>
      </w:r>
      <w:r>
        <w:rPr>
          <w:color w:val="FF0000"/>
        </w:rPr>
        <w:t>np. komputera stacjonarnego, laptopa, dysku sieciowego, programów w których użytkownik pracuje, poczty elektronicznej</w:t>
      </w:r>
      <w:r>
        <w:rPr/>
        <w:t xml:space="preserve">) </w:t>
      </w:r>
      <w:r>
        <w:rPr>
          <w:rFonts w:cs="Calibri"/>
        </w:rPr>
        <w:t>rozpoczyna pracę z użyciem identyfikatora i hasła.</w:t>
      </w:r>
    </w:p>
    <w:p>
      <w:pPr>
        <w:pStyle w:val="ListParagraph"/>
        <w:numPr>
          <w:ilvl w:val="0"/>
          <w:numId w:val="13"/>
        </w:numPr>
        <w:spacing w:before="0" w:after="0"/>
        <w:rPr/>
      </w:pPr>
      <w:r>
        <w:rPr>
          <w:rFonts w:cs="Calibri"/>
        </w:rPr>
        <w:t xml:space="preserve">Użytkownik jest zobowiązany do powiadomienia </w:t>
      </w:r>
      <w:r>
        <w:rPr/>
        <w:t>informatyków-administratorów</w:t>
      </w:r>
      <w:r>
        <w:rPr>
          <w:rFonts w:cs="Calibri"/>
        </w:rPr>
        <w:t xml:space="preserve"> o próbach logowania się do systemu osoby nieupoważnionej, jeśli system to sygnalizuje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W przypadku, gdy użytkownik podczas próby zalogowania się zablokuje system, zobowiązany jest powiadomić o tym informatyków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Użytkownik jest zobowiązany do uniemożliwienia osobom niepowołanym (np. klientom, innym) wglądu do danych wyświetlanych na monitorach – tzw. </w:t>
      </w:r>
      <w:r>
        <w:rPr>
          <w:rFonts w:cs="Calibri"/>
          <w:b/>
          <w:color w:val="FF0000"/>
        </w:rPr>
        <w:t>Polityka czystego ekranu</w:t>
      </w:r>
    </w:p>
    <w:p>
      <w:pPr>
        <w:pStyle w:val="Normal"/>
        <w:numPr>
          <w:ilvl w:val="0"/>
          <w:numId w:val="13"/>
        </w:numPr>
        <w:tabs>
          <w:tab w:val="left" w:pos="1080" w:leader="none"/>
        </w:tabs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Przed czasowym opuszczeniem stanowiska pracy, użytkownik zobowiązany jest wywołać blokowany hasłem wygaszacz ekranu lub wylogować się z systemu. Jeżeli tego nie uczyni, po upływie</w:t>
      </w:r>
      <w:r>
        <w:rPr>
          <w:rFonts w:cs="Calibri"/>
          <w:color w:val="FF0000"/>
        </w:rPr>
        <w:t xml:space="preserve"> </w:t>
      </w:r>
      <w:r>
        <w:rPr>
          <w:rFonts w:cs="Calibri"/>
          <w:b/>
        </w:rPr>
        <w:t>15</w:t>
      </w:r>
      <w:r>
        <w:rPr>
          <w:rFonts w:cs="Calibri"/>
        </w:rPr>
        <w:t xml:space="preserve"> minut system automatycznie aktywuje wygaszacz</w:t>
      </w:r>
    </w:p>
    <w:p>
      <w:pPr>
        <w:pStyle w:val="Normal"/>
        <w:numPr>
          <w:ilvl w:val="0"/>
          <w:numId w:val="13"/>
        </w:numPr>
        <w:tabs>
          <w:tab w:val="left" w:pos="1080" w:leader="none"/>
        </w:tabs>
        <w:spacing w:lineRule="auto" w:line="240" w:before="0" w:after="0"/>
        <w:jc w:val="both"/>
        <w:rPr/>
      </w:pPr>
      <w:r>
        <w:rPr/>
        <w:t>Zabrania się uruchamiania jakiejkolwiek aplikacji informatyk działający na zlecenie administratora działu informatyki. Dotyczy to zwłaszcza programów przesłanych za pomocą poczty elektronicznej lub wskazanych w formie odnośnika internetowego.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Po zakończeniu pracy, użytkownik zobowiązany jest:</w:t>
      </w:r>
    </w:p>
    <w:p>
      <w:pPr>
        <w:pStyle w:val="Normal"/>
        <w:numPr>
          <w:ilvl w:val="0"/>
          <w:numId w:val="15"/>
        </w:numPr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wylogować się z systemu informatycznego, a następnie wyłączyć sprzęt komputerowy</w:t>
      </w:r>
    </w:p>
    <w:p>
      <w:pPr>
        <w:pStyle w:val="Normal"/>
        <w:numPr>
          <w:ilvl w:val="0"/>
          <w:numId w:val="15"/>
        </w:numPr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zabezpieczyć stanowisko pracy, w szczególności wszelką dokumentację oraz nośniki magnetyczne i optyczne, na których znajdują się dane osobowe</w:t>
      </w:r>
    </w:p>
    <w:p>
      <w:pPr>
        <w:pStyle w:val="Nagwek1"/>
        <w:numPr>
          <w:ilvl w:val="0"/>
          <w:numId w:val="2"/>
        </w:numPr>
        <w:spacing w:before="0" w:after="0"/>
        <w:rPr/>
      </w:pPr>
      <w:bookmarkStart w:id="4" w:name="_Toc507323251"/>
      <w:bookmarkEnd w:id="4"/>
      <w:r>
        <w:rPr/>
        <w:t>Polityka haseł</w:t>
      </w:r>
    </w:p>
    <w:p>
      <w:pPr>
        <w:pStyle w:val="Srodkiochpkt"/>
        <w:numPr>
          <w:ilvl w:val="0"/>
          <w:numId w:val="7"/>
        </w:numPr>
        <w:tabs>
          <w:tab w:val="left" w:pos="708" w:leader="none"/>
        </w:tabs>
        <w:spacing w:before="0" w:afterAutospacing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Hasła powinny składać się z np. 12 znaków </w:t>
      </w:r>
    </w:p>
    <w:p>
      <w:pPr>
        <w:pStyle w:val="Srodkiochpkt"/>
        <w:numPr>
          <w:ilvl w:val="0"/>
          <w:numId w:val="7"/>
        </w:numPr>
        <w:tabs>
          <w:tab w:val="left" w:pos="708" w:leader="none"/>
        </w:tabs>
        <w:spacing w:before="0" w:afterAutospacing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Hasła powinny zawierać duże litery + małe litery + cyfry (lub znaki specjalne)</w:t>
      </w:r>
    </w:p>
    <w:p>
      <w:pPr>
        <w:pStyle w:val="Srodkiochpkt"/>
        <w:numPr>
          <w:ilvl w:val="0"/>
          <w:numId w:val="7"/>
        </w:numPr>
        <w:tabs>
          <w:tab w:val="left" w:pos="708" w:leader="none"/>
        </w:tabs>
        <w:spacing w:before="0" w:afterAutospacing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Hasła nie mogą być łatwe do odgadnięcia. Nie powinny być powszechnie używanymi słowami. W szczególności nie należy jako haseł wykorzystywać: dat, imion i nazwisk osób bliskich, imion zwierząt, popularnych dat, popularnych słów, typowych zestawów: 123456, qwerty</w:t>
      </w:r>
    </w:p>
    <w:p>
      <w:pPr>
        <w:pStyle w:val="Srodkiochpkt"/>
        <w:numPr>
          <w:ilvl w:val="0"/>
          <w:numId w:val="7"/>
        </w:numPr>
        <w:tabs>
          <w:tab w:val="left" w:pos="708" w:leader="none"/>
        </w:tabs>
        <w:spacing w:before="0" w:afterAutospacing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Hasła nie powinny być ujawnianie innym osobom. Nie należy zapisywać haseł na kartkach i w notesach, nie naklejać na monitorze komputera, nie trzymać pod klawiaturą lub w szufladzie</w:t>
      </w:r>
    </w:p>
    <w:p>
      <w:pPr>
        <w:pStyle w:val="Srodkiochpkt"/>
        <w:numPr>
          <w:ilvl w:val="0"/>
          <w:numId w:val="7"/>
        </w:numPr>
        <w:tabs>
          <w:tab w:val="left" w:pos="708" w:leader="none"/>
        </w:tabs>
        <w:spacing w:before="0" w:afterAutospacing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W przypadku ujawnienia hasła – należy natychmiast go zmienić</w:t>
      </w:r>
    </w:p>
    <w:p>
      <w:pPr>
        <w:pStyle w:val="Srodkiochpkt"/>
        <w:numPr>
          <w:ilvl w:val="0"/>
          <w:numId w:val="7"/>
        </w:numPr>
        <w:tabs>
          <w:tab w:val="left" w:pos="708" w:leader="none"/>
        </w:tabs>
        <w:spacing w:before="0" w:afterAutospacing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Hasła muszą być zmieniane co 60</w:t>
      </w:r>
      <w:r>
        <w:rPr>
          <w:rFonts w:cs="Calibri" w:ascii="Calibri" w:hAnsi="Calibri" w:asciiTheme="minorHAnsi" w:cstheme="minorHAnsi" w:hAnsiTheme="minorHAnsi"/>
          <w:color w:val="FF0000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dni</w:t>
      </w:r>
    </w:p>
    <w:p>
      <w:pPr>
        <w:pStyle w:val="Srodkiochpkt"/>
        <w:numPr>
          <w:ilvl w:val="0"/>
          <w:numId w:val="7"/>
        </w:numPr>
        <w:tabs>
          <w:tab w:val="left" w:pos="708" w:leader="none"/>
        </w:tabs>
        <w:spacing w:before="0" w:afterAutospacing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Jeżeli system nie wymusza zmiany haseł, użytkownik zobowiązany jest do samodzielnej zmiany hasła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jc w:val="both"/>
        <w:rPr>
          <w:rFonts w:ascii="Calibri" w:hAnsi="Calibri" w:cs="Calibri"/>
        </w:rPr>
      </w:pPr>
      <w:r>
        <w:rPr>
          <w:rFonts w:cs="Calibri"/>
        </w:rPr>
        <w:t>Użytkownik systemu w trakcie pracy w aplikacji może zmienić swoje hasło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jc w:val="both"/>
        <w:rPr>
          <w:rFonts w:ascii="Calibri" w:hAnsi="Calibri" w:cs="Calibri"/>
        </w:rPr>
      </w:pPr>
      <w:r>
        <w:rPr>
          <w:rFonts w:cs="Calibri"/>
        </w:rPr>
        <w:t>Użytkownik zobowiązuje się do zachowania hasła w poufności, nawet po utracie przez nie ważności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jc w:val="both"/>
        <w:rPr>
          <w:rFonts w:ascii="Calibri" w:hAnsi="Calibri" w:cs="Calibri"/>
        </w:rPr>
      </w:pPr>
      <w:r>
        <w:rPr/>
        <w:t>Zabrania się używania w serwisach internetowych takich samych lub podobnych haseł jak w systemie komputerowym firmy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jc w:val="both"/>
        <w:rPr/>
      </w:pPr>
      <w:r>
        <w:rPr/>
        <w:t>Zabrania się stosowania tego samego hasła jako zabezpieczenia w dostępie do różnych systemów.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jc w:val="both"/>
        <w:rPr/>
      </w:pPr>
      <w:r>
        <w:rPr/>
        <w:t>Zabrania się definiowania haseł, w których jeden człon pozostaje niezmienny, a drugi zmienia się według przewidywalnego wzorca (np. Anna001, Anna002, Anna003 itd.). Nie powinno się też stosować haseł, w których któryś z członów stanowi imię, nazwę lub numer miesiąca lub inny możliwy do odgadnięcia klucz.</w:t>
      </w:r>
    </w:p>
    <w:p>
      <w:pPr>
        <w:pStyle w:val="Nagwek1"/>
        <w:numPr>
          <w:ilvl w:val="0"/>
          <w:numId w:val="2"/>
        </w:numPr>
        <w:spacing w:before="0" w:after="0"/>
        <w:rPr/>
      </w:pPr>
      <w:bookmarkStart w:id="5" w:name="_Toc507323252"/>
      <w:bookmarkEnd w:id="5"/>
      <w:r>
        <w:rPr/>
        <w:t>Zabezpieczenie dokumentacji papierowej z danymi osobowymi</w:t>
      </w:r>
    </w:p>
    <w:p>
      <w:pPr>
        <w:pStyle w:val="Normal"/>
        <w:numPr>
          <w:ilvl w:val="0"/>
          <w:numId w:val="9"/>
        </w:numPr>
        <w:spacing w:lineRule="auto" w:line="240" w:beforeAutospacing="1" w:after="0"/>
        <w:jc w:val="both"/>
        <w:rPr>
          <w:rFonts w:cs="Calibri" w:cstheme="minorHAnsi"/>
        </w:rPr>
      </w:pPr>
      <w:r>
        <w:rPr>
          <w:rFonts w:cs="Calibri" w:cstheme="minorHAnsi"/>
        </w:rPr>
        <w:t>Upoważnieni pracownicy są zobowiązani do stosowania tzw. „</w:t>
      </w:r>
      <w:r>
        <w:rPr>
          <w:rFonts w:cs="Calibri" w:cstheme="minorHAnsi"/>
          <w:b/>
        </w:rPr>
        <w:t>Polityki czystego biurka</w:t>
      </w:r>
      <w:r>
        <w:rPr>
          <w:rFonts w:cs="Calibri" w:cstheme="minorHAnsi"/>
        </w:rPr>
        <w:t>”. Polega ona na zabezpieczaniu (zamykaniu) dokumentów oraz nośników np. w szafach, biurkach, pomieszczeniach przed kradzieżą lub wglądem osób nieupoważnionych po godzinach pracy lub podczas ich nieobecności w trakcie godzin pracy.</w:t>
      </w:r>
      <w:r>
        <w:rPr>
          <w:rFonts w:cs="Calibri"/>
        </w:rPr>
        <w:t xml:space="preserve"> </w:t>
      </w:r>
    </w:p>
    <w:p>
      <w:pPr>
        <w:pStyle w:val="Normal"/>
        <w:numPr>
          <w:ilvl w:val="0"/>
          <w:numId w:val="9"/>
        </w:numPr>
        <w:spacing w:lineRule="auto" w:line="240" w:beforeAutospacing="1" w:after="0"/>
        <w:jc w:val="both"/>
        <w:rPr>
          <w:rFonts w:cs="Calibri" w:cstheme="minorHAnsi"/>
        </w:rPr>
      </w:pPr>
      <w:r>
        <w:rPr>
          <w:rFonts w:cs="Calibri" w:cstheme="minorHAnsi"/>
        </w:rPr>
        <w:t>Upoważnieni pracownicy zobowiązani są do niszczenia dokumentów i wydruków w niszczarkach lub utylizacji ich w specjalnych bezpiecznych pojemnikach z przeznaczeniem do bezpiecznej utylizacji</w:t>
      </w:r>
    </w:p>
    <w:p>
      <w:pPr>
        <w:pStyle w:val="Normal"/>
        <w:numPr>
          <w:ilvl w:val="0"/>
          <w:numId w:val="9"/>
        </w:numPr>
        <w:spacing w:lineRule="auto" w:line="240" w:beforeAutospacing="1" w:after="0"/>
        <w:jc w:val="both"/>
        <w:rPr>
          <w:rFonts w:cs="Calibri" w:cstheme="minorHAnsi"/>
        </w:rPr>
      </w:pPr>
      <w:r>
        <w:rPr>
          <w:rFonts w:cs="Calibri" w:cstheme="minorHAnsi"/>
        </w:rPr>
        <w:t>Zabrania się pozostawiania dokumentów z danymi osobowymi poza zabezpieczonymi pomieszczeniami, np.  w korytarzach, na kserokopiarkach, drukarkach, w pomieszczeniach konferencyjnych</w:t>
      </w:r>
    </w:p>
    <w:p>
      <w:pPr>
        <w:pStyle w:val="Normal"/>
        <w:numPr>
          <w:ilvl w:val="0"/>
          <w:numId w:val="9"/>
        </w:numPr>
        <w:spacing w:lineRule="auto" w:line="240" w:beforeAutospacing="1" w:after="0"/>
        <w:jc w:val="both"/>
        <w:rPr>
          <w:rFonts w:cs="Calibri" w:cstheme="minorHAnsi"/>
        </w:rPr>
      </w:pPr>
      <w:r>
        <w:rPr>
          <w:rFonts w:cs="Calibri" w:cstheme="minorHAnsi"/>
        </w:rPr>
        <w:t>Zabrania się wyrzucania niezniszczonych dokumentów na śmietnik lub porzucania ich na zewnątrz, np., na terenach publicznych miejskich lub w lesie.</w:t>
      </w:r>
    </w:p>
    <w:p>
      <w:pPr>
        <w:pStyle w:val="Nagwek1"/>
        <w:numPr>
          <w:ilvl w:val="0"/>
          <w:numId w:val="2"/>
        </w:numPr>
        <w:rPr/>
      </w:pPr>
      <w:bookmarkStart w:id="6" w:name="_Toc507323253"/>
      <w:bookmarkEnd w:id="6"/>
      <w:r>
        <w:rPr/>
        <w:t>Zasady wynoszenia nośników z danymi poza firmę/organizację</w:t>
      </w:r>
    </w:p>
    <w:p>
      <w:pPr>
        <w:pStyle w:val="Normal"/>
        <w:numPr>
          <w:ilvl w:val="0"/>
          <w:numId w:val="8"/>
        </w:numPr>
        <w:spacing w:lineRule="auto" w:line="240" w:beforeAutospacing="1" w:after="0"/>
        <w:jc w:val="both"/>
        <w:rPr>
          <w:rFonts w:cs="Calibri" w:cstheme="minorHAnsi"/>
        </w:rPr>
      </w:pPr>
      <w:r>
        <w:rPr>
          <w:rFonts w:cs="Calibri" w:cstheme="minorHAnsi"/>
        </w:rPr>
        <w:t>Użytkownicy nie mogą wynosić na zewnątrz organizacji wymiennych elektronicznych nośników informacji z zapisanymi danymi osobowymi bez zgody Pracodawcy / Zleceniodawcy. Do takich nośników zalicz się:  wymienne twarde dyski, pen-drive, płyty CD, DVD, pamięci typu Flash</w:t>
      </w:r>
    </w:p>
    <w:p>
      <w:pPr>
        <w:pStyle w:val="Normal"/>
        <w:numPr>
          <w:ilvl w:val="0"/>
          <w:numId w:val="8"/>
        </w:numPr>
        <w:spacing w:lineRule="auto" w:line="240" w:beforeAutospacing="1" w:after="0"/>
        <w:jc w:val="both"/>
        <w:rPr>
          <w:rFonts w:cs="Calibri" w:cstheme="minorHAnsi"/>
        </w:rPr>
      </w:pPr>
      <w:r>
        <w:rPr>
          <w:rFonts w:cs="Calibri" w:cstheme="minorHAnsi"/>
        </w:rPr>
        <w:t>Dane osobowe wynoszone poza organizację muszą być zaszyfrowane (szyfrowane dyski, zahasłowane pliki)</w:t>
      </w:r>
    </w:p>
    <w:p>
      <w:pPr>
        <w:pStyle w:val="Normal"/>
        <w:numPr>
          <w:ilvl w:val="0"/>
          <w:numId w:val="8"/>
        </w:numPr>
        <w:spacing w:lineRule="auto" w:line="240" w:beforeAutospacing="1" w:after="0"/>
        <w:jc w:val="both"/>
        <w:rPr>
          <w:rFonts w:cs="Calibri" w:cstheme="minorHAnsi"/>
        </w:rPr>
      </w:pPr>
      <w:r>
        <w:rPr>
          <w:rFonts w:cs="Calibri" w:cstheme="minorHAnsi"/>
        </w:rPr>
        <w:t>Należy zapewnić bezpieczne przewożenie dokumentacji papierowej w plecakach, teczkach</w:t>
      </w:r>
    </w:p>
    <w:p>
      <w:pPr>
        <w:pStyle w:val="Normal"/>
        <w:numPr>
          <w:ilvl w:val="0"/>
          <w:numId w:val="8"/>
        </w:numPr>
        <w:spacing w:lineRule="auto" w:line="240" w:beforeAutospacing="1" w:after="0"/>
        <w:jc w:val="both"/>
        <w:rPr>
          <w:rFonts w:cs="Calibri" w:cstheme="minorHAnsi"/>
        </w:rPr>
      </w:pPr>
      <w:r>
        <w:rPr>
          <w:rFonts w:cs="Calibri" w:cstheme="minorHAnsi"/>
        </w:rPr>
        <w:t>Należy korzystać ze sprawdzonych firm kurierskich</w:t>
      </w:r>
    </w:p>
    <w:p>
      <w:pPr>
        <w:pStyle w:val="Normal"/>
        <w:numPr>
          <w:ilvl w:val="0"/>
          <w:numId w:val="8"/>
        </w:numPr>
        <w:spacing w:lineRule="auto" w:line="240" w:beforeAutospacing="1" w:after="0"/>
        <w:jc w:val="both"/>
        <w:rPr>
          <w:rFonts w:cs="Calibri" w:cstheme="minorHAnsi"/>
        </w:rPr>
      </w:pPr>
      <w:r>
        <w:rPr>
          <w:rFonts w:cs="Calibri" w:cstheme="minorHAnsi"/>
        </w:rPr>
        <w:t>W przypadku, gdy dokumenty przewozi pracownik, zobowiązany jest do zabezpieczenia przewożonych dokumentów przed zagubieniem i kradzieżą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Zabrania się wynoszenia poza obszar organizacji wymiennych nośników informacji a w szczególności twardych dysków z zapisanymi danymi osobowymi i pendrive bez zgody Administratora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Dane osobowe wynoszone poza obszar dokumentacji na nośnikach elektronicznych muszą być zaszyfrowane 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W sytuacji przekazywania nośników z danymi osobowymi poza obszar organizacji można stosować następujące zasady bezpieczeństwa:</w:t>
      </w:r>
    </w:p>
    <w:p>
      <w:pPr>
        <w:pStyle w:val="Normal"/>
        <w:numPr>
          <w:ilvl w:val="1"/>
          <w:numId w:val="8"/>
        </w:numPr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adresat powinien zostać powiadomiony o przesyłce</w:t>
      </w:r>
    </w:p>
    <w:p>
      <w:pPr>
        <w:pStyle w:val="Normal"/>
        <w:numPr>
          <w:ilvl w:val="1"/>
          <w:numId w:val="8"/>
        </w:numPr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dane przed wysłaniem powinny zostać zaszyfrowane a hasło podane adresatowi inną drogą</w:t>
      </w:r>
    </w:p>
    <w:p>
      <w:pPr>
        <w:pStyle w:val="Normal"/>
        <w:numPr>
          <w:ilvl w:val="1"/>
          <w:numId w:val="8"/>
        </w:numPr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stosować bezpieczne koperty depozytowe</w:t>
      </w:r>
    </w:p>
    <w:p>
      <w:pPr>
        <w:pStyle w:val="Normal"/>
        <w:numPr>
          <w:ilvl w:val="1"/>
          <w:numId w:val="8"/>
        </w:numPr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przesyłkę należy przesyłać przez kuriera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agwek1"/>
        <w:numPr>
          <w:ilvl w:val="0"/>
          <w:numId w:val="2"/>
        </w:numPr>
        <w:spacing w:before="0" w:after="0"/>
        <w:rPr/>
      </w:pPr>
      <w:bookmarkStart w:id="7" w:name="_Toc507323254"/>
      <w:bookmarkEnd w:id="7"/>
      <w:r>
        <w:rPr/>
        <w:t>Zasady korzystania z internetu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Użytkownik zobowiązany jest do korzystania z internetu wyłącznie w celach służbowych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Zabrania się zgrywania na dysk twardy komputera oraz uruchamia jakichkolwiek programów nielegalnych oraz plików pobranych z niewiadomego źródła. Pliki takie powinny być ściągane tylko za każdorazową zgodą osoby upoważnionej do administrowania infrastrukturą IT (np. ASI) i tylko w uzasadnionych przypadkach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Użytkownik ponosi odpowiedzialność za szkody spowodowane przez oprogramowanie instalowane z Internetu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Nie należy w opcjach przeglądarki internetowej włączać opcji autouzupełniania formularzy i zapamiętywania haseł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 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Zabrania się samowolnego podłączania do komputerów modemów, telefonów komórkowych i innych urządzeń dostępowych (np.: typu BlueConnect, iPlus, OrangeGo). Zabronione jest też łączenie się przy pomocy takich urządzeń z Internetem w chwili, gdy komputer użytkownika podłączony jest do sieci firmowej.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agwek1"/>
        <w:numPr>
          <w:ilvl w:val="0"/>
          <w:numId w:val="2"/>
        </w:numPr>
        <w:spacing w:before="0" w:after="0"/>
        <w:rPr/>
      </w:pPr>
      <w:bookmarkStart w:id="8" w:name="_Toc507323255"/>
      <w:bookmarkEnd w:id="8"/>
      <w:r>
        <w:rPr/>
        <w:t>Zasady korzystania z poczty elektronicznej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Przesyłanie danych osobowych z użyciem maila poza organizację może odbywać się tylko przez osoby do tego upoważnione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W przypadku przesyłania danych osobowych poza organizację należy wysyłać pliki  zaszyfrowane/spakowane (np. programem 7 zip, winzipem, winrarem) i zahasłowane, gdzie hasło powinno być przesłane do odbiorcy telefonicznie lub SMS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przypadku zabezpieczenia plików hasłem, obowiązuje minimum </w:t>
      </w:r>
      <w:r>
        <w:rPr>
          <w:rFonts w:cs="Calibri" w:cstheme="minorHAnsi"/>
          <w:color w:val="FF0000"/>
        </w:rPr>
        <w:t xml:space="preserve">(np. 12) </w:t>
      </w:r>
      <w:r>
        <w:rPr>
          <w:rFonts w:cs="Calibri" w:cstheme="minorHAnsi"/>
        </w:rPr>
        <w:t>znaków: duże i małe litery i cyfry lub znaki specjalne a hasło należy przesłać odrębnym  mailem lub inną metodą, np. telefonicznie lub SMS-em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Użytkownicy powinni zwracać szczególną uwagę na poprawność adresu odbiorcy dokumentu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Zaleca się, aby użytkownik podczas przesyłania danych osobowych mailem zawarł w treści prośbę o potwierdzenie otrzymania i zapoznania się z informacją przez adresata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Calibri" w:cstheme="minorHAnsi"/>
          <w:color w:val="FF0000"/>
        </w:rPr>
      </w:pPr>
      <w:r>
        <w:rPr>
          <w:rFonts w:cs="Calibri" w:cstheme="minorHAnsi"/>
          <w:b/>
        </w:rPr>
        <w:t>WAŻNE:</w:t>
      </w:r>
      <w:r>
        <w:rPr>
          <w:rFonts w:cs="Calibri" w:cstheme="minorHAnsi"/>
        </w:rPr>
        <w:t xml:space="preserve"> Nie otwierać załączników (.zip, .xlsm, .pdf, .exe) w mailach!!!!! Są to zwykle „wirusy”, które  infekują komputer oraz często pozostałe komputery w sieci. </w:t>
      </w:r>
      <w:r>
        <w:rPr>
          <w:rFonts w:cs="Calibri" w:cstheme="minorHAnsi"/>
          <w:color w:val="FF0000"/>
        </w:rPr>
        <w:t>WYSOKIE RYZYKO UTRATY BEZPOWROTNEJ UTRATY DANYCH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  <w:b/>
        </w:rPr>
        <w:t>WAŻNE:</w:t>
      </w:r>
      <w:r>
        <w:rPr>
          <w:rFonts w:cs="Calibri" w:cstheme="minorHAnsi"/>
        </w:rPr>
        <w:t xml:space="preserve"> Nie wolno „klikać” na hiperlinki w mailach, gdyż mogą to być hiperlinki do stron z „wirusami”. Użytkownik „klikając” na taki hiperlink infekuje komputer oraz inne komputery w sieci. </w:t>
      </w:r>
      <w:r>
        <w:rPr>
          <w:rFonts w:cs="Calibri" w:cstheme="minorHAnsi"/>
          <w:color w:val="FF0000"/>
        </w:rPr>
        <w:t>WYSOKIE RYZYKO UTRATY BEZPOWROTNEJ UTRATY DANYCH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Należy zgłaszać informatykowi przypadki podejrzanych emaili 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Użytkownicy nie powinni rozsyłać „niezawodowych” emaili  w formie „łańcuszków szczęścia", np. Życzenia Świąteczne adresowane do 230 osób.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Podczas wysyłania maili do wielu adresatów jednocześnie, należy użyć  metody „Ukryte do wiadomości – UDW”. Zabronione jest rozsyłanie maili do wielu adresatów z użyciem opcji „Do wiadomości”!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Użytkownicy powinni okresowo kasować niepotrzebne maile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/>
        </w:rPr>
        <w:t>Konta pocztowe firmowe są odseparowane od poczty prywatnej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Mail służbowy jest przeznaczony wyłącznie do wykonywania obowiązków służbowych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Zakazuje się wysyłania korespondencji służbowej na prywatne skrzynki pocztowe pracowników lub innych osób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 w:cstheme="minorHAnsi"/>
        </w:rPr>
        <w:t>Użytkownicy mają prawo korzystać z poczty mailowej dla celów prywatnych wyłącznie okazjonalnie i powinno być to ograniczone do niezbędnego minimum.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Zabrania się użytkownikom poczty elektronicznej konfigurowania swoich kont pocztowych do automatycznego przekierowywania wiadomości na adres zewnętrzny.  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Korzystanie z maila dla celów prywatnych nie może wpływać na jakość i ilość świadczonej przez Użytkownika pracy oraz na prawidłowe i rzetelne wykonywanie przez niego obowiązków służbowych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Przy korzystaniu z maila, Użytkownicy mają obowiązek przestrzegać prawa własności przemysłowej i prawa autorskiego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Użytkownicy nie mają prawa korzystać z maila w celu rozpowszechniania treści o charakterze obraźliwym, niemoralnym lub niestosownym wobec powszechnie obowiązujących zasad postępowania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Użytkownik bez zgody Pracodawcy / Zleceniodawcy nie ma prawa wysyłać wiadomości zawierających dane osobowe dotyczące Pracodawcy / Zleceniodawcy, jego pracowników, klientów, dostawców lub kontrahentów za pośrednictwem Internetu, w tym przy użyciu prywatnej elektronicznej skrzynki pocztowej</w:t>
      </w:r>
    </w:p>
    <w:p>
      <w:pPr>
        <w:pStyle w:val="Nagwek1"/>
        <w:numPr>
          <w:ilvl w:val="0"/>
          <w:numId w:val="2"/>
        </w:numPr>
        <w:spacing w:before="0" w:after="0"/>
        <w:rPr/>
      </w:pPr>
      <w:bookmarkStart w:id="9" w:name="_Toc507323256"/>
      <w:bookmarkEnd w:id="9"/>
      <w:r>
        <w:rPr/>
        <w:t>Ochrona antywirusowa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Użytkownicy zobowiązani są do skanowania plików wprowadzanych z  zewnętrznych nośników programem antywirusowym, jeśli system antywirusowy taką funkcje posiada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Zakazane jest  wyłączanie systemu antywirusowego podczas pracy systemu informatycznego przetwarzającego dane osobowe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cs="Calibri" w:cstheme="minorHAnsi"/>
        </w:rPr>
        <w:t>W przypadku stwierdzenia zainfekowania systemu lub pojawienia się komunikatów „np.; Twój system jest zainfekowany!, zainstaluj program antywirusowy”, użytkownik obowiązany jest poinformować niezwłocznie o tym fakcie Informatyka działającego na zlecenie Administratora lub Administratora.</w:t>
      </w:r>
      <w:r>
        <w:rPr/>
        <w:t xml:space="preserve"> </w:t>
      </w:r>
    </w:p>
    <w:p>
      <w:pPr>
        <w:pStyle w:val="Nagwek1"/>
        <w:numPr>
          <w:ilvl w:val="0"/>
          <w:numId w:val="2"/>
        </w:numPr>
        <w:rPr/>
      </w:pPr>
      <w:bookmarkStart w:id="10" w:name="_Toc507323257"/>
      <w:bookmarkEnd w:id="10"/>
      <w:r>
        <w:rPr/>
        <w:t>Skrócona instrukcja postępowania w przypadku naruszenia ochrony danych osobowych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Każda osoba upoważniona do przetwarzania danych osobowych zobowiązana jest do powiadomienia Administratora  w przypadku stwierdzenia lub podejrzenia naruszenia ochrony danych osobowych</w:t>
      </w:r>
    </w:p>
    <w:p>
      <w:pPr>
        <w:pStyle w:val="ListParagraph"/>
        <w:numPr>
          <w:ilvl w:val="0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Do sytuacji wymagających powiadomienia, należą: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niewłaściwe zabezpieczenie fizyczne pomieszczeń, urządzeń i dokumentów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niewłaściwe zabezpieczenie sprzętu IT, oprogramowania przed wyciekiem, kradzieżą i utratą danych osobowych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nieprzestrzeganie zasad ochrony danych osobowych przez pracowników (np. niestosowanie zasady czystego biurka / ekranu, ochrony haseł, niezamykanie pomieszczeń, szaf, biurek)</w:t>
      </w:r>
    </w:p>
    <w:p>
      <w:pPr>
        <w:pStyle w:val="ListParagraph"/>
        <w:numPr>
          <w:ilvl w:val="0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Do incydentów wymagających powiadomienia, należą: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zdarzenia losowe zewnętrzne (pożar obiektu/pomieszczenia, zalanie wodą, utrata zasilania, utrata łączności)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zdarzenia losowe wewnętrzne (awarie serwera, komputerów, twardych dysków, oprogramowania, pomyłki informatyków, użytkowników, utrata / zagubienie danych)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umyślne incydenty (włamanie do systemu informatycznego lub pomieszczeń, kradzież danych/sprzętu, wyciek informacji, ujawnienie danych osobom nieupoważnionym, świadome zniszczenie dokumentów/danych, działanie wirusów i innego szkodliwego oprogramowania)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Typowe przykłady incydentów wymagające reakcji: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ślady na drzwiach, oknach i szafach wskazują na próbę włamania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dokumentacja jest niszczona bez użycia niszczarki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fizyczna obecność w budynku lub pomieszczeniach osób zachowujących się podejrzanie 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otwarte drzwi do pomieszczeń, szaf, gdzie przechowywane są dane osobowe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ustawienie monitorów pozwala na wgląd osób postronnych w dane osobowe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wynoszenie danych osobowych w wersji papierowej i elektronicznej na zewnątrz organizacji bez upoważnienia Administratora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udostępnienie danych osobowych osobom nieupoważnionym w formie papierowej, elektronicznej i ustnej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telefoniczne próby wyłudzenia danych osobowych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kradzież, zagubienie komputerów lub CD, twardych dysków, Pen-drive z danymi osobowymi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maile zachęcające do ujawnienia identyfikatora i/lub hasła,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pojawienie się wirusa komputerowego lub niestandardowe zachowanie komputerów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hasła do systemów przyklejone są w pobliżu komputera </w:t>
      </w:r>
    </w:p>
    <w:p>
      <w:pPr>
        <w:pStyle w:val="Nagwek1"/>
        <w:numPr>
          <w:ilvl w:val="0"/>
          <w:numId w:val="2"/>
        </w:numPr>
        <w:rPr/>
      </w:pPr>
      <w:bookmarkStart w:id="11" w:name="_Toc507323258"/>
      <w:bookmarkEnd w:id="11"/>
      <w:r>
        <w:rPr/>
        <w:t>Obowiązek zachowania poufności i ochrony danych osobowych</w:t>
      </w:r>
    </w:p>
    <w:p>
      <w:pPr>
        <w:pStyle w:val="ListParagraph"/>
        <w:numPr>
          <w:ilvl w:val="0"/>
          <w:numId w:val="14"/>
        </w:numPr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Każda z osób dopuszczona do przetwarzania danych osobowych jest zobowiązana do:</w:t>
      </w:r>
    </w:p>
    <w:p>
      <w:pPr>
        <w:pStyle w:val="ListParagraph"/>
        <w:numPr>
          <w:ilvl w:val="1"/>
          <w:numId w:val="14"/>
        </w:numPr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przetwarzania danych osobowych wyłącznie w zakresie i celu przewidzianym w powierzonych przez Administratora zadaniach</w:t>
      </w:r>
    </w:p>
    <w:p>
      <w:pPr>
        <w:pStyle w:val="ListParagraph"/>
        <w:numPr>
          <w:ilvl w:val="1"/>
          <w:numId w:val="14"/>
        </w:numPr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zachowania w tajemnicy danych osobowych do których ma dostęp w związku z wykonywaniem zadań powierzonych przez Administratora</w:t>
      </w:r>
    </w:p>
    <w:p>
      <w:pPr>
        <w:pStyle w:val="ListParagraph"/>
        <w:numPr>
          <w:ilvl w:val="1"/>
          <w:numId w:val="14"/>
        </w:numPr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niewykorzystywania danych osobowych w celach niezgodnych z zakresem i celem powierzonych zadań przez Administratora</w:t>
      </w:r>
    </w:p>
    <w:p>
      <w:pPr>
        <w:pStyle w:val="ListParagraph"/>
        <w:numPr>
          <w:ilvl w:val="1"/>
          <w:numId w:val="14"/>
        </w:numPr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zachowania w tajemnicy sposobów zabezpieczenia danych osobowych</w:t>
      </w:r>
    </w:p>
    <w:p>
      <w:pPr>
        <w:pStyle w:val="ListParagraph"/>
        <w:numPr>
          <w:ilvl w:val="1"/>
          <w:numId w:val="14"/>
        </w:numPr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ochrony danych osobowych przed przypadkowym lub niezgodnym z prawem zniszczeniem, utratą, modyfikacją danych osobowych, nieuprawnionym ujawnieniem danych osobowych, nieuprawnionym dostępem do danych osobowych oraz przetwarzaniem</w:t>
      </w:r>
    </w:p>
    <w:p>
      <w:pPr>
        <w:pStyle w:val="ListParagraph"/>
        <w:numPr>
          <w:ilvl w:val="0"/>
          <w:numId w:val="14"/>
        </w:numPr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Jeśli jest to przewidziane, osoba dopuszczona do przetwarzania odbywa szkolenie z zasad ochrony danych osobowych</w:t>
      </w:r>
    </w:p>
    <w:p>
      <w:pPr>
        <w:pStyle w:val="ListParagraph"/>
        <w:numPr>
          <w:ilvl w:val="0"/>
          <w:numId w:val="14"/>
        </w:numPr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Osoby zapoznane z treścią niniejszego Regulaminu ODO lub przeszkolone zobowiązane są  podpisać Oświadczenie o poufności</w:t>
      </w:r>
    </w:p>
    <w:p>
      <w:pPr>
        <w:pStyle w:val="ListParagraph"/>
        <w:numPr>
          <w:ilvl w:val="0"/>
          <w:numId w:val="14"/>
        </w:numPr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Zabrania się przekazywania bezpośrednio lub przez telefon danych osobowych osobom nieupoważnionym lub osobom których tożsamości nie można zweryfikować lub osobom podszywającym się pod kogoś innego</w:t>
      </w:r>
    </w:p>
    <w:p>
      <w:pPr>
        <w:pStyle w:val="ListParagraph"/>
        <w:numPr>
          <w:ilvl w:val="0"/>
          <w:numId w:val="14"/>
        </w:numPr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Zabrania się przekazywania lub ujawniania danych osobom lub instytucjom, które nie mogą wykazać się jasną podstawą prawną do dostępu do takich danych</w:t>
      </w:r>
    </w:p>
    <w:p>
      <w:pPr>
        <w:pStyle w:val="ListParagraph"/>
        <w:numPr>
          <w:ilvl w:val="0"/>
          <w:numId w:val="14"/>
        </w:numPr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Zabrania się ujawniania na grupach dyskusyjnych, forach internetowych, blogach itp. jakichkolwiek szczegółów dotyczących funkcjonowania firmy, w tym informacji na temat sprzętu i oprogramowania, z jakiego korzysta firma, oraz informacji kontaktowych innych, niż ogólnodostępne w materiałach zewnętrznych. </w:t>
      </w:r>
    </w:p>
    <w:p>
      <w:pPr>
        <w:pStyle w:val="Nagwek1"/>
        <w:numPr>
          <w:ilvl w:val="0"/>
          <w:numId w:val="2"/>
        </w:numPr>
        <w:rPr/>
      </w:pPr>
      <w:bookmarkStart w:id="12" w:name="_Toc507323259"/>
      <w:bookmarkEnd w:id="12"/>
      <w:r>
        <w:rPr/>
        <w:t>Postępowanie dyscyplinarne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cs="Calibri" w:cstheme="minorHAnsi"/>
          <w:color w:val="000000"/>
          <w:szCs w:val="20"/>
        </w:rPr>
      </w:pPr>
      <w:bookmarkStart w:id="13" w:name="_Toc467377103"/>
      <w:r>
        <w:rPr>
          <w:rFonts w:cs="Calibri" w:cstheme="minorHAnsi"/>
        </w:rPr>
        <w:t>Przypadki nieuzasadnionego zaniechania obowiązków wynikających z niniejszego dokumentu potraktowane będą jako ciężkie naruszenie obowiązków pracowniczyc</w:t>
      </w:r>
      <w:bookmarkEnd w:id="13"/>
      <w:r>
        <w:rPr>
          <w:rFonts w:cs="Calibri" w:cstheme="minorHAnsi"/>
        </w:rPr>
        <w:t>h  lub naruszenie zasad współpracy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cs="Calibri" w:cstheme="minorHAnsi"/>
          <w:color w:val="000000"/>
          <w:szCs w:val="20"/>
        </w:rPr>
      </w:pPr>
      <w:r>
        <w:rPr>
          <w:rFonts w:cs="Calibri" w:cstheme="minorHAnsi"/>
          <w:color w:val="000000"/>
          <w:szCs w:val="20"/>
        </w:rPr>
        <w:t>Postępowanie sprzeczne z powyższymi zobowiązaniami, może też być uznane przez Pracodawcę / Zleceniodawcę za naruszenie przepisów karnych zawartych w ogólnym Rozporządzeniu o ochronie danych UE z dnia 27 kwietnia 2016 r.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Cs w:val="20"/>
        </w:rPr>
      </w:pPr>
      <w:r>
        <w:rPr>
          <w:rFonts w:cs="Calibri" w:cstheme="minorHAnsi"/>
          <w:color w:val="00000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Cs w:val="20"/>
        </w:rPr>
      </w:pPr>
      <w:r>
        <w:rPr>
          <w:rFonts w:cs="Calibri" w:cstheme="minorHAnsi"/>
          <w:color w:val="00000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Cs w:val="20"/>
        </w:rPr>
      </w:pPr>
      <w:r>
        <w:rPr>
          <w:rFonts w:cs="Calibri" w:cstheme="minorHAnsi"/>
          <w:color w:val="000000"/>
          <w:szCs w:val="20"/>
        </w:rPr>
      </w:r>
    </w:p>
    <w:p>
      <w:pPr>
        <w:pStyle w:val="ListParagraph"/>
        <w:spacing w:lineRule="auto" w:line="240" w:before="0" w:after="0"/>
        <w:ind w:left="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ascii="Calibri" w:hAnsi="Calibri" w:cs="Calibri"/>
          <w:highlight w:val="yellow"/>
        </w:rPr>
      </w:pPr>
      <w:r>
        <w:rPr>
          <w:rFonts w:cs="Calibri"/>
          <w:highlight w:val="yellow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"/>
      <w:lvlJc w:val="left"/>
      <w:pPr>
        <w:ind w:left="432" w:hanging="432"/>
      </w:pPr>
    </w:lvl>
    <w:lvl w:ilvl="1">
      <w:start w:val="1"/>
      <w:pStyle w:val="Nagwek2"/>
      <w:numFmt w:val="decimal"/>
      <w:lvlText w:val="%1.%2"/>
      <w:lvlJc w:val="left"/>
      <w:pPr>
        <w:ind w:left="576" w:hanging="576"/>
      </w:pPr>
    </w:lvl>
    <w:lvl w:ilvl="2">
      <w:start w:val="1"/>
      <w:pStyle w:val="Nagwek3"/>
      <w:numFmt w:val="decimal"/>
      <w:lvlText w:val="%1.%2.%3"/>
      <w:lvlJc w:val="left"/>
      <w:pPr>
        <w:ind w:left="720" w:hanging="720"/>
      </w:pPr>
    </w:lvl>
    <w:lvl w:ilvl="3">
      <w:start w:val="1"/>
      <w:pStyle w:val="Nagwek4"/>
      <w:numFmt w:val="decimal"/>
      <w:lvlText w:val="%1.%2.%3.%4"/>
      <w:lvlJc w:val="left"/>
      <w:pPr>
        <w:ind w:left="864" w:hanging="864"/>
      </w:pPr>
    </w:lvl>
    <w:lvl w:ilvl="4">
      <w:start w:val="1"/>
      <w:pStyle w:val="Nagwek5"/>
      <w:numFmt w:val="decimal"/>
      <w:lvlText w:val="%1.%2.%3.%4.%5"/>
      <w:lvlJc w:val="left"/>
      <w:pPr>
        <w:ind w:left="1008" w:hanging="1008"/>
      </w:pPr>
    </w:lvl>
    <w:lvl w:ilvl="5">
      <w:start w:val="1"/>
      <w:pStyle w:val="Nagwek6"/>
      <w:numFmt w:val="decimal"/>
      <w:lvlText w:val="%1.%2.%3.%4.%5.%6"/>
      <w:lvlJc w:val="left"/>
      <w:pPr>
        <w:ind w:left="1152" w:hanging="1152"/>
      </w:pPr>
    </w:lvl>
    <w:lvl w:ilvl="6">
      <w:start w:val="1"/>
      <w:pStyle w:val="Nagwek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Nagwek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Nagwek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6acf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0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d37b67"/>
    <w:pPr>
      <w:keepNext/>
      <w:keepLines/>
      <w:numPr>
        <w:ilvl w:val="0"/>
        <w:numId w:val="1"/>
      </w:numPr>
      <w:pBdr>
        <w:bottom w:val="single" w:sz="4" w:space="1" w:color="595959"/>
      </w:pBdr>
      <w:spacing w:before="360" w:after="160"/>
      <w:outlineLvl w:val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"/>
    <w:link w:val="Nagwek2Znak"/>
    <w:uiPriority w:val="9"/>
    <w:unhideWhenUsed/>
    <w:qFormat/>
    <w:rsid w:val="001f0098"/>
    <w:pPr>
      <w:keepNext/>
      <w:keepLines/>
      <w:numPr>
        <w:ilvl w:val="1"/>
        <w:numId w:val="1"/>
      </w:numPr>
      <w:spacing w:before="360" w:after="0"/>
      <w:outlineLvl w:val="1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"/>
    <w:link w:val="Nagwek3Znak"/>
    <w:uiPriority w:val="9"/>
    <w:unhideWhenUsed/>
    <w:qFormat/>
    <w:rsid w:val="001f0098"/>
    <w:pPr>
      <w:keepNext/>
      <w:keepLines/>
      <w:numPr>
        <w:ilvl w:val="2"/>
        <w:numId w:val="1"/>
      </w:numPr>
      <w:spacing w:before="200" w:after="0"/>
      <w:outlineLvl w:val="2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000000" w:themeColor="text1"/>
    </w:rPr>
  </w:style>
  <w:style w:type="paragraph" w:styleId="Nagwek4">
    <w:name w:val="Heading 4"/>
    <w:basedOn w:val="Normal"/>
    <w:link w:val="Nagwek4Znak"/>
    <w:uiPriority w:val="9"/>
    <w:unhideWhenUsed/>
    <w:qFormat/>
    <w:rsid w:val="001f0098"/>
    <w:pPr>
      <w:keepNext/>
      <w:keepLines/>
      <w:numPr>
        <w:ilvl w:val="3"/>
        <w:numId w:val="1"/>
      </w:numPr>
      <w:spacing w:before="200" w:after="0"/>
      <w:outlineLvl w:val="3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000000" w:themeColor="text1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1f0098"/>
    <w:pPr>
      <w:keepNext/>
      <w:keepLines/>
      <w:numPr>
        <w:ilvl w:val="4"/>
        <w:numId w:val="1"/>
      </w:numPr>
      <w:spacing w:before="200" w:after="0"/>
      <w:outlineLvl w:val="4"/>
      <w:outlineLvl w:val="4"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1f0098"/>
    <w:pPr>
      <w:keepNext/>
      <w:keepLines/>
      <w:numPr>
        <w:ilvl w:val="5"/>
        <w:numId w:val="1"/>
      </w:numPr>
      <w:spacing w:before="200" w:after="0"/>
      <w:outlineLvl w:val="5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323E4F" w:themeColor="text2" w:themeShade="bf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1f0098"/>
    <w:pPr>
      <w:keepNext/>
      <w:keepLines/>
      <w:numPr>
        <w:ilvl w:val="6"/>
        <w:numId w:val="1"/>
      </w:numPr>
      <w:spacing w:before="200" w:after="0"/>
      <w:outlineLvl w:val="6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1f0098"/>
    <w:pPr>
      <w:keepNext/>
      <w:keepLines/>
      <w:numPr>
        <w:ilvl w:val="7"/>
        <w:numId w:val="1"/>
      </w:numPr>
      <w:spacing w:before="200" w:after="0"/>
      <w:outlineLvl w:val="7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Cs w:val="20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1f0098"/>
    <w:pPr>
      <w:keepNext/>
      <w:keepLines/>
      <w:numPr>
        <w:ilvl w:val="8"/>
        <w:numId w:val="1"/>
      </w:numPr>
      <w:spacing w:before="200" w:after="0"/>
      <w:outlineLvl w:val="8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f0098"/>
    <w:rPr>
      <w:b/>
      <w:bCs/>
      <w:color w:val="000000" w:themeColor="text1"/>
    </w:rPr>
  </w:style>
  <w:style w:type="character" w:styleId="Czeinternetowe">
    <w:name w:val="Łącze internetowe"/>
    <w:uiPriority w:val="99"/>
    <w:unhideWhenUsed/>
    <w:rsid w:val="00a46518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d37b67"/>
    <w:rPr>
      <w:rFonts w:ascii="Calibri Light" w:hAnsi="Calibri Light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3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1f0098"/>
    <w:rPr>
      <w:rFonts w:ascii="Calibri Light" w:hAnsi="Calibri Light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1f0098"/>
    <w:rPr>
      <w:rFonts w:ascii="Calibri Light" w:hAnsi="Calibri Light" w:eastAsia="" w:cs="" w:asciiTheme="majorHAnsi" w:cstheme="majorBidi" w:eastAsiaTheme="majorEastAsia" w:hAnsiTheme="majorHAnsi"/>
      <w:b/>
      <w:bCs/>
      <w:color w:val="000000" w:themeColor="text1"/>
      <w:sz w:val="20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1f0098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000000" w:themeColor="text1"/>
      <w:sz w:val="2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1f0098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z w:val="2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1f0098"/>
    <w:rPr>
      <w:rFonts w:ascii="Calibri Light" w:hAnsi="Calibri Light" w:eastAsia="" w:cs="" w:asciiTheme="majorHAnsi" w:cstheme="majorBidi" w:eastAsiaTheme="majorEastAsia" w:hAnsiTheme="majorHAnsi"/>
      <w:i/>
      <w:iCs/>
      <w:color w:val="323E4F" w:themeColor="text2" w:themeShade="bf"/>
      <w:sz w:val="2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1f0098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1f0098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1f0098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ytuZnak" w:customStyle="1">
    <w:name w:val="Tytuł Znak"/>
    <w:basedOn w:val="DefaultParagraphFont"/>
    <w:link w:val="Tytu"/>
    <w:uiPriority w:val="10"/>
    <w:qFormat/>
    <w:rsid w:val="001f0098"/>
    <w:rPr>
      <w:rFonts w:ascii="Calibri Light" w:hAnsi="Calibri Light" w:eastAsia="" w:cs="" w:asciiTheme="majorHAnsi" w:cstheme="majorBidi" w:eastAsiaTheme="majorEastAsia" w:hAnsiTheme="majorHAnsi"/>
      <w:color w:val="000000" w:themeColor="text1"/>
      <w:sz w:val="56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1f0098"/>
    <w:rPr>
      <w:color w:val="5A5A5A" w:themeColor="text1" w:themeTint="a5"/>
      <w:spacing w:val="10"/>
    </w:rPr>
  </w:style>
  <w:style w:type="character" w:styleId="Wyrnienie">
    <w:name w:val="Wyróżnienie"/>
    <w:basedOn w:val="DefaultParagraphFont"/>
    <w:uiPriority w:val="20"/>
    <w:qFormat/>
    <w:rsid w:val="001f0098"/>
    <w:rPr>
      <w:i/>
      <w:iCs/>
      <w:color w:val="00000A"/>
    </w:rPr>
  </w:style>
  <w:style w:type="character" w:styleId="CytatZnak" w:customStyle="1">
    <w:name w:val="Cytat Znak"/>
    <w:basedOn w:val="DefaultParagraphFont"/>
    <w:link w:val="Cytat"/>
    <w:uiPriority w:val="29"/>
    <w:qFormat/>
    <w:rsid w:val="001f0098"/>
    <w:rPr>
      <w:i/>
      <w:iCs/>
      <w:color w:val="000000" w:themeColor="text1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1f0098"/>
    <w:rPr>
      <w:color w:val="000000" w:themeColor="text1"/>
      <w:shd w:fill="F2F2F2" w:val="clear"/>
    </w:rPr>
  </w:style>
  <w:style w:type="character" w:styleId="SubtleEmphasis">
    <w:name w:val="Subtle Emphasis"/>
    <w:basedOn w:val="DefaultParagraphFont"/>
    <w:uiPriority w:val="19"/>
    <w:qFormat/>
    <w:rsid w:val="001f009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f009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f0098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1f009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f0098"/>
    <w:rPr>
      <w:b w:val="false"/>
      <w:bCs w:val="false"/>
      <w:smallCaps/>
      <w:spacing w:val="5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1f477f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Czeindeksu">
    <w:name w:val="Łącze indeks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1f477f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4651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ption">
    <w:name w:val="caption"/>
    <w:basedOn w:val="Normal"/>
    <w:uiPriority w:val="35"/>
    <w:semiHidden/>
    <w:unhideWhenUsed/>
    <w:qFormat/>
    <w:rsid w:val="001f0098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"/>
    <w:link w:val="TytuZnak"/>
    <w:uiPriority w:val="10"/>
    <w:qFormat/>
    <w:rsid w:val="001f0098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000000" w:themeColor="text1"/>
      <w:sz w:val="56"/>
      <w:szCs w:val="56"/>
    </w:rPr>
  </w:style>
  <w:style w:type="paragraph" w:styleId="Podtytu">
    <w:name w:val="Subtitle"/>
    <w:basedOn w:val="Normal"/>
    <w:link w:val="PodtytuZnak"/>
    <w:uiPriority w:val="11"/>
    <w:qFormat/>
    <w:rsid w:val="001f0098"/>
    <w:pPr/>
    <w:rPr>
      <w:color w:val="5A5A5A" w:themeColor="text1" w:themeTint="a5"/>
      <w:spacing w:val="10"/>
    </w:rPr>
  </w:style>
  <w:style w:type="paragraph" w:styleId="NoSpacing">
    <w:name w:val="No Spacing"/>
    <w:uiPriority w:val="1"/>
    <w:qFormat/>
    <w:rsid w:val="0080606f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0"/>
      <w:szCs w:val="22"/>
      <w:lang w:val="pl-PL" w:eastAsia="pl-PL" w:bidi="ar-SA"/>
    </w:rPr>
  </w:style>
  <w:style w:type="paragraph" w:styleId="Quote">
    <w:name w:val="Quote"/>
    <w:basedOn w:val="Normal"/>
    <w:link w:val="CytatZnak"/>
    <w:uiPriority w:val="29"/>
    <w:qFormat/>
    <w:rsid w:val="001f0098"/>
    <w:pPr>
      <w:spacing w:before="160" w:after="160"/>
      <w:ind w:left="720" w:right="720" w:hanging="0"/>
    </w:pPr>
    <w:rPr>
      <w:i/>
      <w:iCs/>
      <w:color w:val="000000" w:themeColor="text1"/>
    </w:rPr>
  </w:style>
  <w:style w:type="paragraph" w:styleId="IntenseQuote">
    <w:name w:val="Intense Quote"/>
    <w:basedOn w:val="Normal"/>
    <w:link w:val="CytatintensywnyZnak"/>
    <w:uiPriority w:val="30"/>
    <w:qFormat/>
    <w:rsid w:val="001f0098"/>
    <w:pPr>
      <w:pBdr>
        <w:top w:val="single" w:sz="24" w:space="1" w:color="F2F2F2"/>
        <w:bottom w:val="single" w:sz="24" w:space="1" w:color="F2F2F2"/>
      </w:pBdr>
      <w:shd w:val="clear" w:color="auto" w:fill="F2F2F2" w:themeFill="background1" w:themeFillShade="f2"/>
      <w:spacing w:before="240" w:after="240"/>
      <w:ind w:left="936" w:right="936" w:hanging="0"/>
      <w:jc w:val="center"/>
    </w:pPr>
    <w:rPr>
      <w:color w:val="000000" w:themeColor="text1"/>
    </w:rPr>
  </w:style>
  <w:style w:type="paragraph" w:styleId="TOCHeading">
    <w:name w:val="TOC Heading"/>
    <w:basedOn w:val="Nagwek1"/>
    <w:uiPriority w:val="39"/>
    <w:unhideWhenUsed/>
    <w:qFormat/>
    <w:rsid w:val="001f0098"/>
    <w:pPr>
      <w:numPr>
        <w:ilvl w:val="0"/>
        <w:numId w:val="0"/>
      </w:numPr>
    </w:pPr>
    <w:rPr/>
  </w:style>
  <w:style w:type="paragraph" w:styleId="Spistreci1">
    <w:name w:val="TOC 1"/>
    <w:basedOn w:val="Normal"/>
    <w:autoRedefine/>
    <w:uiPriority w:val="39"/>
    <w:unhideWhenUsed/>
    <w:rsid w:val="001f0098"/>
    <w:pPr>
      <w:spacing w:before="0" w:after="100"/>
    </w:pPr>
    <w:rPr/>
  </w:style>
  <w:style w:type="paragraph" w:styleId="Spistreci2">
    <w:name w:val="TOC 2"/>
    <w:basedOn w:val="Normal"/>
    <w:autoRedefine/>
    <w:uiPriority w:val="39"/>
    <w:unhideWhenUsed/>
    <w:rsid w:val="004201bb"/>
    <w:pPr>
      <w:spacing w:before="0" w:after="100"/>
      <w:ind w:left="220" w:hanging="0"/>
    </w:pPr>
    <w:rPr/>
  </w:style>
  <w:style w:type="paragraph" w:styleId="ListParagraph">
    <w:name w:val="List Paragraph"/>
    <w:basedOn w:val="Normal"/>
    <w:uiPriority w:val="34"/>
    <w:qFormat/>
    <w:rsid w:val="005b1075"/>
    <w:pPr>
      <w:spacing w:before="0" w:after="160"/>
      <w:ind w:left="720" w:hanging="0"/>
      <w:contextualSpacing/>
    </w:pPr>
    <w:rPr/>
  </w:style>
  <w:style w:type="paragraph" w:styleId="Srodkiochpkt" w:customStyle="1">
    <w:name w:val="srodkiochpkt"/>
    <w:basedOn w:val="Normal"/>
    <w:qFormat/>
    <w:rsid w:val="001f477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Uptopis" w:customStyle="1">
    <w:name w:val="up_t_opis"/>
    <w:basedOn w:val="Normal"/>
    <w:qFormat/>
    <w:rsid w:val="000c6c38"/>
    <w:pPr>
      <w:suppressAutoHyphens w:val="true"/>
      <w:spacing w:lineRule="exact" w:line="300" w:before="0" w:after="0"/>
      <w:ind w:left="57" w:right="57" w:hanging="0"/>
    </w:pPr>
    <w:rPr>
      <w:rFonts w:ascii="Arial" w:hAnsi="Arial" w:eastAsia="Times New Roman" w:cs="Arial"/>
      <w:sz w:val="16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640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056A-BD1B-4166-AC06-227109BE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LibreOffice/5.1.4.2$Windows_x86 LibreOffice_project/f99d75f39f1c57ebdd7ffc5f42867c12031db97a</Application>
  <Pages>8</Pages>
  <Words>2773</Words>
  <CharactersWithSpaces>16642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2018-05-20T12:10:00Z</dcterms:created>
  <dc:creator>Zontek i Wspólnicy Sp.k.</dc:creator>
  <dc:description/>
  <dc:language>pl-PL</dc:language>
  <cp:lastModifiedBy>Sony</cp:lastModifiedBy>
  <dcterms:modified xsi:type="dcterms:W3CDTF">2018-05-20T12:18:00Z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